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8F3E1">
      <w:pPr>
        <w:pStyle w:val="5"/>
        <w:spacing w:before="0"/>
      </w:pPr>
      <w:bookmarkStart w:id="7" w:name="_GoBack"/>
      <w:bookmarkEnd w:id="7"/>
      <w:r>
        <w:rPr>
          <w:rFonts w:hint="eastAsia"/>
        </w:rPr>
        <w:t>项目需求书（货物</w:t>
      </w:r>
      <w:r>
        <w:t>-</w:t>
      </w:r>
      <w:r>
        <w:rPr>
          <w:rFonts w:hint="eastAsia"/>
        </w:rPr>
        <w:t>通用类）</w:t>
      </w:r>
    </w:p>
    <w:p w14:paraId="3BEAF4DA">
      <w:pPr>
        <w:spacing w:line="360" w:lineRule="auto"/>
        <w:ind w:firstLine="482" w:firstLineChars="200"/>
        <w:rPr>
          <w:rFonts w:hint="eastAsia" w:ascii="宋体" w:hAnsi="宋体"/>
          <w:b/>
          <w:sz w:val="24"/>
        </w:rPr>
      </w:pPr>
      <w:r>
        <w:rPr>
          <w:rFonts w:hint="eastAsia" w:ascii="宋体" w:hAnsi="宋体"/>
          <w:b/>
          <w:sz w:val="24"/>
        </w:rPr>
        <w:t>一、项目背景</w:t>
      </w:r>
    </w:p>
    <w:p w14:paraId="3FC022E4">
      <w:pPr>
        <w:spacing w:line="360" w:lineRule="auto"/>
        <w:ind w:firstLine="480" w:firstLineChars="200"/>
        <w:rPr>
          <w:rFonts w:hint="eastAsia" w:ascii="宋体" w:hAnsi="宋体"/>
          <w:sz w:val="24"/>
        </w:rPr>
      </w:pPr>
      <w:r>
        <w:rPr>
          <w:rFonts w:hint="eastAsia" w:ascii="宋体" w:hAnsi="宋体"/>
          <w:sz w:val="24"/>
        </w:rPr>
        <w:t xml:space="preserve">1. </w:t>
      </w:r>
      <w:r>
        <w:rPr>
          <w:rFonts w:ascii="宋体" w:hAnsi="宋体"/>
          <w:sz w:val="24"/>
        </w:rPr>
        <w:t>项目名称：</w:t>
      </w:r>
      <w:r>
        <w:rPr>
          <w:rFonts w:hint="eastAsia" w:ascii="宋体" w:hAnsi="宋体"/>
          <w:sz w:val="24"/>
        </w:rPr>
        <w:t>高性能计算服务器购置项目</w:t>
      </w:r>
    </w:p>
    <w:p w14:paraId="49075A8C">
      <w:pPr>
        <w:spacing w:line="360" w:lineRule="auto"/>
        <w:ind w:firstLine="480" w:firstLineChars="200"/>
        <w:rPr>
          <w:rFonts w:hint="eastAsia" w:ascii="宋体" w:hAnsi="宋体"/>
          <w:sz w:val="24"/>
        </w:rPr>
      </w:pPr>
      <w:r>
        <w:rPr>
          <w:rFonts w:hint="eastAsia" w:ascii="宋体" w:hAnsi="宋体"/>
          <w:sz w:val="24"/>
        </w:rPr>
        <w:t>2. 项目背景：目前我校中药资源学科相关工作进入多组学大数据与人工智能深度融合的关键阶段，现有计算设备已无法满足需求，校外云计算途径则存在核心科研成果泄露风险，难以满足服务企业需求。急需具备充足数据处理能力的，可运行并微调主流生物语言模型、多模态模型的具备通用并行计算编程模型生态的算力资源。</w:t>
      </w:r>
    </w:p>
    <w:p w14:paraId="3A297EE8">
      <w:pPr>
        <w:spacing w:line="360" w:lineRule="auto"/>
        <w:ind w:firstLine="482" w:firstLineChars="200"/>
        <w:rPr>
          <w:b/>
          <w:sz w:val="24"/>
        </w:rPr>
      </w:pPr>
      <w:r>
        <w:rPr>
          <w:b/>
          <w:sz w:val="24"/>
        </w:rPr>
        <w:t>二、项目预算</w:t>
      </w:r>
    </w:p>
    <w:p w14:paraId="64F66026">
      <w:pPr>
        <w:spacing w:line="360" w:lineRule="auto"/>
        <w:ind w:firstLine="480" w:firstLineChars="200"/>
        <w:rPr>
          <w:sz w:val="24"/>
        </w:rPr>
      </w:pPr>
      <w:r>
        <w:rPr>
          <w:sz w:val="24"/>
        </w:rPr>
        <w:t>第一包</w:t>
      </w:r>
      <w:r>
        <w:rPr>
          <w:rFonts w:hint="eastAsia"/>
          <w:sz w:val="24"/>
        </w:rPr>
        <w:t>：97.26万元</w:t>
      </w:r>
    </w:p>
    <w:p w14:paraId="5AD371C9">
      <w:pPr>
        <w:spacing w:line="360" w:lineRule="auto"/>
        <w:ind w:firstLine="482" w:firstLineChars="200"/>
        <w:rPr>
          <w:rFonts w:hint="eastAsia" w:ascii="宋体" w:hAnsi="宋体"/>
          <w:b/>
          <w:sz w:val="24"/>
        </w:rPr>
      </w:pPr>
      <w:r>
        <w:rPr>
          <w:rFonts w:hint="eastAsia" w:ascii="宋体" w:hAnsi="宋体"/>
          <w:b/>
          <w:sz w:val="24"/>
        </w:rPr>
        <w:t>三、资格要求</w:t>
      </w:r>
    </w:p>
    <w:p w14:paraId="7CC12001">
      <w:pPr>
        <w:spacing w:line="360" w:lineRule="auto"/>
        <w:ind w:firstLine="480" w:firstLineChars="200"/>
        <w:rPr>
          <w:rFonts w:hint="eastAsia" w:ascii="宋体" w:hAnsi="宋体"/>
          <w:sz w:val="24"/>
        </w:rPr>
      </w:pPr>
      <w:r>
        <w:rPr>
          <w:rFonts w:hint="eastAsia" w:ascii="宋体" w:hAnsi="宋体"/>
          <w:sz w:val="24"/>
        </w:rPr>
        <w:t>（一）</w:t>
      </w:r>
      <w:r>
        <w:rPr>
          <w:rFonts w:ascii="宋体" w:hAnsi="宋体"/>
          <w:sz w:val="24"/>
        </w:rPr>
        <w:t>根据《中华人民共和国政府采购法》《中华人民共和国招标投标法》及相关配套法规的规定，结合本项目的实际需求和技术复杂性，为确保</w:t>
      </w:r>
      <w:r>
        <w:rPr>
          <w:rFonts w:hint="eastAsia" w:ascii="宋体" w:hAnsi="宋体"/>
          <w:sz w:val="24"/>
        </w:rPr>
        <w:t>高性能计算服务器购置项目</w:t>
      </w:r>
      <w:r>
        <w:rPr>
          <w:rFonts w:ascii="宋体" w:hAnsi="宋体"/>
          <w:sz w:val="24"/>
        </w:rPr>
        <w:t>顺利实施，现对供应商投标设置以下特定资格条件：投标人须为在中国境内依法注册、具有独立法人资格的企业，具备履行合同所必需的专业技术能力；近三年内在类似项目中具有良好的履约记录，无重大违法违规行为。</w:t>
      </w:r>
      <w:r>
        <w:rPr>
          <w:rFonts w:hint="eastAsia" w:ascii="宋体" w:hAnsi="宋体"/>
          <w:sz w:val="24"/>
        </w:rPr>
        <w:t xml:space="preserve">   </w:t>
      </w:r>
    </w:p>
    <w:p w14:paraId="17F5CD76">
      <w:pPr>
        <w:spacing w:line="360" w:lineRule="auto"/>
        <w:ind w:firstLine="480" w:firstLineChars="200"/>
        <w:rPr>
          <w:sz w:val="24"/>
        </w:rPr>
      </w:pPr>
      <w:r>
        <w:rPr>
          <w:rFonts w:hint="eastAsia"/>
          <w:sz w:val="24"/>
        </w:rPr>
        <w:t>（二）投标人须具备《中华人民共和国政府采购法》第二十二条第一款规定的条件。</w:t>
      </w:r>
    </w:p>
    <w:p w14:paraId="4BD7EE86">
      <w:pPr>
        <w:spacing w:line="360" w:lineRule="auto"/>
        <w:ind w:firstLine="480" w:firstLineChars="200"/>
        <w:rPr>
          <w:rFonts w:hint="eastAsia" w:ascii="宋体" w:hAnsi="宋体"/>
          <w:b/>
          <w:sz w:val="24"/>
        </w:rPr>
      </w:pPr>
      <w:r>
        <w:rPr>
          <w:rFonts w:hint="eastAsia"/>
          <w:sz w:val="24"/>
        </w:rPr>
        <w:t>（三）本项目不接受联合体。</w:t>
      </w:r>
    </w:p>
    <w:p w14:paraId="35E66F89">
      <w:pPr>
        <w:spacing w:line="360" w:lineRule="auto"/>
        <w:ind w:firstLine="482" w:firstLineChars="200"/>
        <w:rPr>
          <w:rFonts w:hint="eastAsia" w:ascii="宋体" w:hAnsi="宋体"/>
          <w:b/>
          <w:sz w:val="24"/>
        </w:rPr>
      </w:pPr>
      <w:r>
        <w:rPr>
          <w:rFonts w:hint="eastAsia" w:ascii="宋体" w:hAnsi="宋体"/>
          <w:b/>
          <w:sz w:val="24"/>
        </w:rPr>
        <w:t>四、技术要求</w:t>
      </w:r>
    </w:p>
    <w:p w14:paraId="6451A0FA">
      <w:pPr>
        <w:ind w:firstLine="420"/>
        <w:rPr>
          <w:rFonts w:hint="eastAsia" w:ascii="宋体" w:hAnsi="宋体"/>
          <w:sz w:val="24"/>
        </w:rPr>
      </w:pPr>
      <w:r>
        <w:rPr>
          <w:rFonts w:hint="eastAsia" w:ascii="宋体" w:hAnsi="宋体"/>
          <w:sz w:val="24"/>
        </w:rPr>
        <w:t>第一包：高性能计算服务器</w:t>
      </w:r>
    </w:p>
    <w:p w14:paraId="2A99783B">
      <w:pPr>
        <w:rPr>
          <w:rFonts w:hint="eastAsia" w:ascii="宋体" w:hAnsi="宋体"/>
          <w:sz w:val="24"/>
        </w:rPr>
      </w:pPr>
    </w:p>
    <w:tbl>
      <w:tblPr>
        <w:tblStyle w:val="6"/>
        <w:tblW w:w="4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830"/>
        <w:gridCol w:w="3194"/>
        <w:gridCol w:w="443"/>
        <w:gridCol w:w="441"/>
        <w:gridCol w:w="695"/>
        <w:gridCol w:w="695"/>
      </w:tblGrid>
      <w:tr w14:paraId="2BB8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Align w:val="center"/>
          </w:tcPr>
          <w:p w14:paraId="5CA62801">
            <w:pPr>
              <w:jc w:val="center"/>
              <w:rPr>
                <w:szCs w:val="21"/>
              </w:rPr>
            </w:pPr>
            <w:r>
              <w:rPr>
                <w:szCs w:val="21"/>
              </w:rPr>
              <w:t>序号</w:t>
            </w:r>
          </w:p>
        </w:tc>
        <w:tc>
          <w:tcPr>
            <w:tcW w:w="609" w:type="pct"/>
            <w:vAlign w:val="center"/>
          </w:tcPr>
          <w:p w14:paraId="6D598D85">
            <w:pPr>
              <w:jc w:val="center"/>
              <w:rPr>
                <w:szCs w:val="21"/>
              </w:rPr>
            </w:pPr>
            <w:r>
              <w:rPr>
                <w:szCs w:val="21"/>
              </w:rPr>
              <w:t>货物名称</w:t>
            </w:r>
          </w:p>
        </w:tc>
        <w:tc>
          <w:tcPr>
            <w:tcW w:w="2341" w:type="pct"/>
            <w:vAlign w:val="center"/>
          </w:tcPr>
          <w:p w14:paraId="1F971B62">
            <w:pPr>
              <w:jc w:val="center"/>
              <w:rPr>
                <w:szCs w:val="21"/>
              </w:rPr>
            </w:pPr>
            <w:r>
              <w:rPr>
                <w:szCs w:val="21"/>
              </w:rPr>
              <w:t>技术要求</w:t>
            </w:r>
          </w:p>
        </w:tc>
        <w:tc>
          <w:tcPr>
            <w:tcW w:w="325" w:type="pct"/>
            <w:vAlign w:val="center"/>
          </w:tcPr>
          <w:p w14:paraId="03024005">
            <w:pPr>
              <w:jc w:val="center"/>
              <w:rPr>
                <w:szCs w:val="21"/>
              </w:rPr>
            </w:pPr>
            <w:r>
              <w:rPr>
                <w:szCs w:val="21"/>
              </w:rPr>
              <w:t>单位</w:t>
            </w:r>
          </w:p>
        </w:tc>
        <w:tc>
          <w:tcPr>
            <w:tcW w:w="323" w:type="pct"/>
            <w:vAlign w:val="center"/>
          </w:tcPr>
          <w:p w14:paraId="085EA2E3">
            <w:pPr>
              <w:jc w:val="center"/>
              <w:rPr>
                <w:szCs w:val="21"/>
              </w:rPr>
            </w:pPr>
            <w:r>
              <w:rPr>
                <w:szCs w:val="21"/>
              </w:rPr>
              <w:t>数量</w:t>
            </w:r>
          </w:p>
        </w:tc>
        <w:tc>
          <w:tcPr>
            <w:tcW w:w="509" w:type="pct"/>
            <w:vAlign w:val="center"/>
          </w:tcPr>
          <w:p w14:paraId="319B923E">
            <w:pPr>
              <w:jc w:val="center"/>
              <w:rPr>
                <w:szCs w:val="21"/>
              </w:rPr>
            </w:pPr>
            <w:r>
              <w:rPr>
                <w:rFonts w:hint="eastAsia"/>
                <w:szCs w:val="21"/>
              </w:rPr>
              <w:t>单价</w:t>
            </w:r>
          </w:p>
        </w:tc>
        <w:tc>
          <w:tcPr>
            <w:tcW w:w="509" w:type="pct"/>
            <w:vAlign w:val="center"/>
          </w:tcPr>
          <w:p w14:paraId="384632B3">
            <w:pPr>
              <w:jc w:val="center"/>
              <w:rPr>
                <w:szCs w:val="21"/>
              </w:rPr>
            </w:pPr>
            <w:r>
              <w:rPr>
                <w:rFonts w:hint="eastAsia"/>
                <w:szCs w:val="21"/>
              </w:rPr>
              <w:t>总额</w:t>
            </w:r>
          </w:p>
        </w:tc>
      </w:tr>
      <w:tr w14:paraId="5DBF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Align w:val="center"/>
          </w:tcPr>
          <w:p w14:paraId="5316AA79">
            <w:pPr>
              <w:jc w:val="center"/>
              <w:rPr>
                <w:szCs w:val="21"/>
              </w:rPr>
            </w:pPr>
            <w:r>
              <w:rPr>
                <w:szCs w:val="21"/>
              </w:rPr>
              <w:t>1</w:t>
            </w:r>
          </w:p>
        </w:tc>
        <w:tc>
          <w:tcPr>
            <w:tcW w:w="609" w:type="pct"/>
            <w:vAlign w:val="center"/>
          </w:tcPr>
          <w:p w14:paraId="2796C2D1">
            <w:pPr>
              <w:rPr>
                <w:szCs w:val="21"/>
              </w:rPr>
            </w:pPr>
            <w:r>
              <w:rPr>
                <w:rFonts w:hint="eastAsia"/>
                <w:szCs w:val="21"/>
              </w:rPr>
              <w:t>高性能计算服务器</w:t>
            </w:r>
          </w:p>
        </w:tc>
        <w:tc>
          <w:tcPr>
            <w:tcW w:w="2341" w:type="pct"/>
            <w:vAlign w:val="center"/>
          </w:tcPr>
          <w:p w14:paraId="5DBCA41D">
            <w:pPr>
              <w:rPr>
                <w:rFonts w:ascii="Times New Roman" w:hAnsi="Times New Roman"/>
              </w:rPr>
            </w:pPr>
            <w:r>
              <w:rPr>
                <w:rFonts w:hint="eastAsia" w:ascii="Times New Roman" w:hAnsi="Times New Roman"/>
              </w:rPr>
              <w:t>★1.接受CPU通过安全可靠测评的产品，也接受CPU未通过安全可靠测评的产品；</w:t>
            </w:r>
          </w:p>
          <w:p w14:paraId="28F0E4B9">
            <w:pPr>
              <w:rPr>
                <w:rFonts w:ascii="Times New Roman" w:hAnsi="Times New Roman"/>
              </w:rPr>
            </w:pPr>
            <w:r>
              <w:rPr>
                <w:rFonts w:hint="eastAsia" w:ascii="Times New Roman" w:hAnsi="Times New Roman"/>
              </w:rPr>
              <w:t>★2.CPU:配置≥2颗通用架构处理器，基础主频2.1GHz，单颗CPU核心数48核；</w:t>
            </w:r>
          </w:p>
          <w:p w14:paraId="3C834E2C">
            <w:pPr>
              <w:jc w:val="left"/>
              <w:rPr>
                <w:rFonts w:ascii="Times New Roman" w:hAnsi="Times New Roman"/>
              </w:rPr>
            </w:pPr>
            <w:r>
              <w:rPr>
                <w:rFonts w:hint="eastAsia" w:ascii="Times New Roman" w:hAnsi="Times New Roman"/>
              </w:rPr>
              <w:t>★3.内存：配置≥10条32GB DDR5 ECC服务器内存，内存插槽数量≥32个；</w:t>
            </w:r>
          </w:p>
          <w:p w14:paraId="145AB3F8">
            <w:pPr>
              <w:jc w:val="left"/>
              <w:rPr>
                <w:rFonts w:ascii="Times New Roman" w:hAnsi="Times New Roman"/>
              </w:rPr>
            </w:pPr>
            <w:r>
              <w:rPr>
                <w:rFonts w:hint="eastAsia" w:ascii="Times New Roman" w:hAnsi="Times New Roman"/>
              </w:rPr>
              <w:t>★4.硬盘：</w:t>
            </w:r>
            <w:r>
              <w:rPr>
                <w:rFonts w:hint="eastAsia"/>
              </w:rPr>
              <w:t>配置≥3块16TB-SATA机械硬盘；配置≥2块3840GB-NVME-SSD硬盘；</w:t>
            </w:r>
          </w:p>
          <w:p w14:paraId="76B6FD98">
            <w:pPr>
              <w:jc w:val="left"/>
              <w:rPr>
                <w:rFonts w:ascii="Times New Roman" w:hAnsi="Times New Roman"/>
              </w:rPr>
            </w:pPr>
            <w:r>
              <w:rPr>
                <w:rFonts w:hint="eastAsia" w:ascii="Times New Roman" w:hAnsi="Times New Roman"/>
              </w:rPr>
              <w:t>★5.阵列卡：独立RAID卡，缓存≥4GB；支持RAID0,1,5,6,10配置掉电保护；</w:t>
            </w:r>
          </w:p>
          <w:p w14:paraId="652B9B84">
            <w:pPr>
              <w:jc w:val="left"/>
            </w:pPr>
            <w:r>
              <w:rPr>
                <w:rFonts w:hint="eastAsia" w:ascii="Times New Roman" w:hAnsi="Times New Roman"/>
              </w:rPr>
              <w:t>6</w:t>
            </w:r>
            <w:r>
              <w:rPr>
                <w:rFonts w:hint="eastAsia"/>
              </w:rPr>
              <w:t>.网络参数：配置≥1块双口10G光口网卡（含多模光模块）</w:t>
            </w:r>
          </w:p>
          <w:p w14:paraId="54F9F4FD">
            <w:pPr>
              <w:jc w:val="left"/>
              <w:rPr>
                <w:rFonts w:ascii="Times New Roman" w:hAnsi="Times New Roman"/>
              </w:rPr>
            </w:pPr>
            <w:r>
              <w:rPr>
                <w:rFonts w:hint="eastAsia" w:ascii="Times New Roman" w:hAnsi="Times New Roman"/>
              </w:rPr>
              <w:t>7</w:t>
            </w:r>
            <w:r>
              <w:rPr>
                <w:rFonts w:hint="eastAsia"/>
              </w:rPr>
              <w:t>.电源：</w:t>
            </w:r>
            <w:r>
              <w:rPr>
                <w:rFonts w:hint="eastAsia" w:ascii="Times New Roman" w:hAnsi="Times New Roman"/>
              </w:rPr>
              <w:t>配置不低于4块3000W服务器</w:t>
            </w:r>
            <w:r>
              <w:rPr>
                <w:rFonts w:hint="eastAsia"/>
              </w:rPr>
              <w:t>交流电源（N+N冗余结构）；</w:t>
            </w:r>
          </w:p>
          <w:p w14:paraId="1438662E">
            <w:pPr>
              <w:rPr>
                <w:rFonts w:ascii="Times New Roman" w:hAnsi="Times New Roman"/>
              </w:rPr>
            </w:pPr>
            <w:r>
              <w:rPr>
                <w:rFonts w:ascii="Times New Roman" w:hAnsi="Times New Roman"/>
              </w:rPr>
              <w:t>★8.</w:t>
            </w:r>
            <w:r>
              <w:t>计算单元：配置≥8块计算单元；单块计算单元采用新一代并行加速硬件架构算力处理器，原生支持FP4、FP8、FP16、BF16、TF32等规格混合精度运算；硬件运算核心数量19968；搭载 84GB 带 ECC 硬件纠错GDDR7 高速缓存显存，显存带宽 1398GB/s；采用PCIe5.0 x16总线；</w:t>
            </w:r>
            <w:r>
              <w:rPr>
                <w:rFonts w:hint="eastAsia"/>
              </w:rPr>
              <w:t>支持</w:t>
            </w:r>
            <w:r>
              <w:t>PyTorch、TensorFlow等框架</w:t>
            </w:r>
            <w:r>
              <w:rPr>
                <w:rFonts w:hint="eastAsia"/>
              </w:rPr>
              <w:t>；支持</w:t>
            </w:r>
            <w:r>
              <w:t>AI 推理、科学仿真、多任务并行算力加速；</w:t>
            </w:r>
          </w:p>
          <w:p w14:paraId="52B4A523">
            <w:pPr>
              <w:jc w:val="left"/>
              <w:rPr>
                <w:rFonts w:ascii="Times New Roman" w:hAnsi="Times New Roman"/>
              </w:rPr>
            </w:pPr>
            <w:r>
              <w:rPr>
                <w:rFonts w:hint="eastAsia" w:ascii="Times New Roman" w:hAnsi="Times New Roman"/>
              </w:rPr>
              <w:t>9</w:t>
            </w:r>
            <w:r>
              <w:rPr>
                <w:rFonts w:ascii="Times New Roman" w:hAnsi="Times New Roman"/>
              </w:rPr>
              <w:t>.可管理性：服务器BMC具备独立GE管理口，支持前置BMC直连管理接口，支持Redfish、SNMP、IPMI2.0等标准接口；提供基于HTML5/VNC KVM的远程管理界面；</w:t>
            </w:r>
          </w:p>
          <w:p w14:paraId="773012EB">
            <w:pPr>
              <w:jc w:val="left"/>
              <w:rPr>
                <w:rFonts w:ascii="Times New Roman" w:hAnsi="Times New Roman"/>
              </w:rPr>
            </w:pPr>
            <w:r>
              <w:rPr>
                <w:rFonts w:ascii="Times New Roman" w:hAnsi="Times New Roman"/>
              </w:rPr>
              <w:t>1</w:t>
            </w:r>
            <w:r>
              <w:rPr>
                <w:rFonts w:hint="eastAsia" w:ascii="Times New Roman" w:hAnsi="Times New Roman"/>
              </w:rPr>
              <w:t>0</w:t>
            </w:r>
            <w:r>
              <w:rPr>
                <w:rFonts w:ascii="Times New Roman" w:hAnsi="Times New Roman"/>
              </w:rPr>
              <w:t>.可维护性：服务器BMC具备带外故障诊断功能，不依赖于OS，对CPU故障、I2C和IPMB总线故障、内存故障、PCIe设备故障、硬盘故障、系统宕机、黑屏、蓝屏和异常重启故障等进行分析和定位；</w:t>
            </w:r>
          </w:p>
          <w:p w14:paraId="707B182F">
            <w:pPr>
              <w:jc w:val="left"/>
            </w:pPr>
            <w:r>
              <w:rPr>
                <w:rFonts w:hint="eastAsia"/>
              </w:rPr>
              <w:t>11.质保服务：提供整机5年售后服务保障。其中，前3年提供硬件免费质保及免费上门维修服务；第4至第5年，供应商继续提供免费上门维修及技术支持服务，此阶段硬件维修免收人工费及上门服务费，若需更换硬件配件，仅收取配件成本费。</w:t>
            </w:r>
          </w:p>
          <w:p w14:paraId="3F728060">
            <w:r>
              <w:rPr>
                <w:rFonts w:hint="eastAsia"/>
              </w:rPr>
              <w:t>12部署服务：</w:t>
            </w:r>
            <w:r>
              <w:t xml:space="preserve">部署服务：在服务器中完成基础运行环境搭建及本地模型部署，模型包括但不限于 </w:t>
            </w:r>
            <w:r>
              <w:rPr>
                <w:rFonts w:ascii="Times New Roman" w:hAnsi="Times New Roman"/>
              </w:rPr>
              <w:t>DeepSeek-V4、Evo2、ESM-2、ShenNong-TCM-LLM、TCM-Agent、</w:t>
            </w:r>
            <w:bookmarkStart w:id="0" w:name="OLE_LINK1"/>
            <w:r>
              <w:rPr>
                <w:rFonts w:ascii="Times New Roman" w:hAnsi="Times New Roman"/>
              </w:rPr>
              <w:t>Qwen3.8-Flash-Next、DNABERT-2、ESM2Fold、FIDDLE</w:t>
            </w:r>
            <w:r>
              <w:rPr>
                <w:rFonts w:hint="eastAsia" w:ascii="Times New Roman" w:hAnsi="Times New Roman"/>
              </w:rPr>
              <w:t>、</w:t>
            </w:r>
            <w:r>
              <w:rPr>
                <w:rFonts w:ascii="Times New Roman" w:hAnsi="Times New Roman"/>
              </w:rPr>
              <w:t>Resnet50-CBAM</w:t>
            </w:r>
            <w:r>
              <w:rPr>
                <w:rFonts w:hint="eastAsia" w:ascii="Times New Roman" w:hAnsi="Times New Roman"/>
              </w:rPr>
              <w:t>、</w:t>
            </w:r>
            <w:r>
              <w:rPr>
                <w:rFonts w:ascii="Times New Roman" w:hAnsi="Times New Roman"/>
              </w:rPr>
              <w:t>Mobilenet</w:t>
            </w:r>
            <w:r>
              <w:rPr>
                <w:rFonts w:hint="eastAsia" w:ascii="Times New Roman" w:hAnsi="Times New Roman"/>
              </w:rPr>
              <w:t>、</w:t>
            </w:r>
            <w:r>
              <w:rPr>
                <w:rFonts w:ascii="Times New Roman" w:hAnsi="Times New Roman"/>
              </w:rPr>
              <w:t>SimCLR、GradCAM、Yolov8、SuperSOM</w:t>
            </w:r>
            <w:bookmarkEnd w:id="0"/>
            <w:r>
              <w:t>等；预留扩展能力，支持后续本地模型的加载及参数调整测试。配置服务端口，实现模型可通过 WebUI 界面及 API 共享端口访问；调试完成并交付后，可立即投入科研使用。供应商须在投标文件中提供详细的部署实施方案</w:t>
            </w:r>
            <w:r>
              <w:rPr>
                <w:rFonts w:hint="eastAsia"/>
              </w:rPr>
              <w:t>。</w:t>
            </w:r>
          </w:p>
          <w:p w14:paraId="55E46497">
            <w:pPr>
              <w:rPr>
                <w:szCs w:val="21"/>
              </w:rPr>
            </w:pPr>
            <w:r>
              <w:rPr>
                <w:rFonts w:ascii="Times New Roman" w:hAnsi="Times New Roman"/>
              </w:rPr>
              <w:t>★其余参数应满足《通用服务器政府采购需求标准（2023年版）》（财库[2023]33号）中的全部标注“*”规定。</w:t>
            </w:r>
          </w:p>
        </w:tc>
        <w:tc>
          <w:tcPr>
            <w:tcW w:w="325" w:type="pct"/>
            <w:vAlign w:val="center"/>
          </w:tcPr>
          <w:p w14:paraId="35F3D0A5">
            <w:pPr>
              <w:rPr>
                <w:szCs w:val="21"/>
              </w:rPr>
            </w:pPr>
            <w:r>
              <w:rPr>
                <w:szCs w:val="21"/>
              </w:rPr>
              <w:t>台</w:t>
            </w:r>
          </w:p>
        </w:tc>
        <w:tc>
          <w:tcPr>
            <w:tcW w:w="323" w:type="pct"/>
            <w:vAlign w:val="center"/>
          </w:tcPr>
          <w:p w14:paraId="659810F9">
            <w:pPr>
              <w:rPr>
                <w:szCs w:val="21"/>
              </w:rPr>
            </w:pPr>
            <w:r>
              <w:rPr>
                <w:szCs w:val="21"/>
              </w:rPr>
              <w:t>1</w:t>
            </w:r>
          </w:p>
        </w:tc>
        <w:tc>
          <w:tcPr>
            <w:tcW w:w="509" w:type="pct"/>
            <w:vAlign w:val="center"/>
          </w:tcPr>
          <w:p w14:paraId="15D001CB">
            <w:pPr>
              <w:rPr>
                <w:szCs w:val="21"/>
              </w:rPr>
            </w:pPr>
            <w:r>
              <w:rPr>
                <w:rFonts w:hint="eastAsia"/>
                <w:szCs w:val="21"/>
              </w:rPr>
              <w:t>97.26</w:t>
            </w:r>
          </w:p>
        </w:tc>
        <w:tc>
          <w:tcPr>
            <w:tcW w:w="509" w:type="pct"/>
            <w:vAlign w:val="center"/>
          </w:tcPr>
          <w:p w14:paraId="67E17A59">
            <w:pPr>
              <w:rPr>
                <w:szCs w:val="21"/>
              </w:rPr>
            </w:pPr>
            <w:r>
              <w:rPr>
                <w:rFonts w:hint="eastAsia"/>
                <w:szCs w:val="21"/>
              </w:rPr>
              <w:t>97.26</w:t>
            </w:r>
          </w:p>
        </w:tc>
      </w:tr>
    </w:tbl>
    <w:p w14:paraId="7DD8AC35">
      <w:pPr>
        <w:spacing w:line="360" w:lineRule="auto"/>
        <w:ind w:firstLine="482" w:firstLineChars="200"/>
        <w:rPr>
          <w:rFonts w:hint="eastAsia" w:ascii="宋体" w:hAnsi="宋体"/>
          <w:b/>
          <w:sz w:val="24"/>
        </w:rPr>
      </w:pPr>
      <w:r>
        <w:rPr>
          <w:rFonts w:hint="eastAsia" w:ascii="宋体" w:hAnsi="宋体"/>
          <w:b/>
          <w:sz w:val="24"/>
        </w:rPr>
        <w:t>五、商务要求</w:t>
      </w:r>
    </w:p>
    <w:p w14:paraId="2635CF7B">
      <w:pPr>
        <w:autoSpaceDE w:val="0"/>
        <w:autoSpaceDN w:val="0"/>
        <w:adjustRightInd w:val="0"/>
        <w:spacing w:line="360" w:lineRule="auto"/>
        <w:ind w:firstLine="480" w:firstLineChars="200"/>
        <w:rPr>
          <w:sz w:val="24"/>
        </w:rPr>
      </w:pPr>
      <w:r>
        <w:rPr>
          <w:rFonts w:hint="eastAsia"/>
          <w:sz w:val="24"/>
          <w:szCs w:val="24"/>
        </w:rPr>
        <w:t>★</w:t>
      </w:r>
      <w:r>
        <w:rPr>
          <w:rFonts w:hint="eastAsia" w:eastAsia="......."/>
          <w:kern w:val="0"/>
          <w:sz w:val="24"/>
          <w:szCs w:val="24"/>
        </w:rPr>
        <w:t>（一）</w:t>
      </w:r>
      <w:r>
        <w:rPr>
          <w:rFonts w:hint="eastAsia"/>
          <w:sz w:val="24"/>
        </w:rPr>
        <w:t>报价要求</w:t>
      </w:r>
    </w:p>
    <w:p w14:paraId="79656903">
      <w:pPr>
        <w:autoSpaceDE w:val="0"/>
        <w:autoSpaceDN w:val="0"/>
        <w:adjustRightInd w:val="0"/>
        <w:spacing w:line="360" w:lineRule="auto"/>
        <w:ind w:firstLine="480" w:firstLineChars="200"/>
        <w:rPr>
          <w:sz w:val="24"/>
        </w:rPr>
      </w:pPr>
      <w:r>
        <w:rPr>
          <w:rFonts w:hint="eastAsia"/>
          <w:sz w:val="24"/>
        </w:rPr>
        <w:t>1. 报价以人民币填列。</w:t>
      </w:r>
    </w:p>
    <w:p w14:paraId="427A954C">
      <w:pPr>
        <w:autoSpaceDE w:val="0"/>
        <w:autoSpaceDN w:val="0"/>
        <w:adjustRightInd w:val="0"/>
        <w:spacing w:line="360" w:lineRule="auto"/>
        <w:ind w:firstLine="480" w:firstLineChars="200"/>
        <w:rPr>
          <w:sz w:val="24"/>
        </w:rPr>
      </w:pPr>
      <w:r>
        <w:rPr>
          <w:rFonts w:hint="eastAsia"/>
          <w:sz w:val="24"/>
        </w:rPr>
        <w:t>2. 供应商的报价应包括：设备主机及附件货款、运输费、运输保险费、装卸费、安装调试费及利润税金等为完成项目规定的全部要求所需的一切费用。供应商所报价格为货到现场安装调试完成的最终优惠价格。</w:t>
      </w:r>
    </w:p>
    <w:p w14:paraId="73BE4C2A">
      <w:pPr>
        <w:autoSpaceDE w:val="0"/>
        <w:autoSpaceDN w:val="0"/>
        <w:adjustRightInd w:val="0"/>
        <w:spacing w:line="360" w:lineRule="auto"/>
        <w:ind w:firstLine="480" w:firstLineChars="200"/>
        <w:rPr>
          <w:sz w:val="24"/>
        </w:rPr>
      </w:pPr>
      <w:r>
        <w:rPr>
          <w:rFonts w:hint="eastAsia"/>
          <w:sz w:val="24"/>
        </w:rPr>
        <w:t>3. 验收及相关费用由供应商负责。</w:t>
      </w:r>
    </w:p>
    <w:p w14:paraId="0F8B9CB7">
      <w:pPr>
        <w:autoSpaceDE w:val="0"/>
        <w:autoSpaceDN w:val="0"/>
        <w:adjustRightInd w:val="0"/>
        <w:spacing w:line="360" w:lineRule="auto"/>
        <w:ind w:firstLine="480" w:firstLineChars="200"/>
        <w:rPr>
          <w:sz w:val="24"/>
        </w:rPr>
      </w:pPr>
      <w:r>
        <w:rPr>
          <w:rFonts w:hint="eastAsia"/>
          <w:sz w:val="24"/>
          <w:szCs w:val="24"/>
        </w:rPr>
        <w:t>★</w:t>
      </w:r>
      <w:r>
        <w:rPr>
          <w:rFonts w:hint="eastAsia"/>
          <w:sz w:val="24"/>
        </w:rPr>
        <w:t>（二）服务要求</w:t>
      </w:r>
    </w:p>
    <w:p w14:paraId="7A07D89E">
      <w:pPr>
        <w:autoSpaceDE w:val="0"/>
        <w:autoSpaceDN w:val="0"/>
        <w:adjustRightInd w:val="0"/>
        <w:spacing w:line="360" w:lineRule="auto"/>
        <w:ind w:firstLine="480" w:firstLineChars="200"/>
        <w:rPr>
          <w:sz w:val="24"/>
        </w:rPr>
      </w:pPr>
      <w:r>
        <w:rPr>
          <w:rFonts w:hint="eastAsia"/>
          <w:sz w:val="24"/>
        </w:rPr>
        <w:t>1. 供应商须提供所投产品5年售后服务保障，质保期自项目整体验收合格之日起正式起算。其中，前3年提供硬件免费质保及免费上门维修服务；第4至第5年，供应商继续提供免费上门维修及技术支持服务，此阶段硬件维修免收人工费及上门服务费，若需更换硬件配件，仅收取配件成本费。供应商须具备独立、完整的自有售后服务体系，拥有稳定的专职技术服务团队、故障处置能力及备件保障能力，本项目所有售后运维、故障排查、现场维修、技术支撑等服务工作均由供应商自有在岗技术人员实施。严禁无自有服务团队、无履约能力团队服务，严禁服务转包、违法分包或委托无资质第三方代为维保。供应商须在投标文件中出具专项履约承诺，保证全程自有团队履约，杜绝外包代维、售后推诿、服务降级等问题。</w:t>
      </w:r>
    </w:p>
    <w:p w14:paraId="1A0E11D3">
      <w:pPr>
        <w:autoSpaceDE w:val="0"/>
        <w:autoSpaceDN w:val="0"/>
        <w:adjustRightInd w:val="0"/>
        <w:spacing w:line="360" w:lineRule="auto"/>
        <w:ind w:firstLine="480" w:firstLineChars="200"/>
        <w:rPr>
          <w:sz w:val="24"/>
        </w:rPr>
      </w:pPr>
      <w:r>
        <w:rPr>
          <w:rFonts w:hint="eastAsia"/>
          <w:sz w:val="24"/>
        </w:rPr>
        <w:t>质保期内，供应商提供7×24小时全天候远程技术响应服务，接到采购人报修通知后须即时对接、快速远程排查处置故障；无法远程修复的故障，供应商须在48小时内委派本公司持证资深售后工程师，携带常备原厂全新备件抵达项目现场完成维修处置。供应商须具备常态化备件储备与保障能力，所有维修更换配件均为全新原厂正品，严禁使用翻新件、拆机件、二手件、兼容替代件及劣质配件，保障设备长期稳定、合规运行。</w:t>
      </w:r>
    </w:p>
    <w:p w14:paraId="28CE78D6">
      <w:pPr>
        <w:autoSpaceDE w:val="0"/>
        <w:autoSpaceDN w:val="0"/>
        <w:adjustRightInd w:val="0"/>
        <w:spacing w:line="360" w:lineRule="auto"/>
        <w:ind w:firstLine="480" w:firstLineChars="200"/>
        <w:rPr>
          <w:sz w:val="24"/>
        </w:rPr>
      </w:pPr>
      <w:r>
        <w:rPr>
          <w:rFonts w:hint="eastAsia"/>
          <w:sz w:val="24"/>
        </w:rPr>
        <w:t>质保期内，设备出现的所有非人为质量故障、硬件损坏、功能异常等问题，均由供应商免费提供上门检测、维修、零部件更换、整机调试等全套服务，所产生的人工、配件、运输、上门、调试等全部费用均由供应商全额承担，采购人无需额外支付任何费用。5年质保期满后，供应商须提供终身成本价维修服务，优先保障本项目设备备件供应与技术支撑，维修响应时效、上门服务标准、故障处置流程与质保期服务标准保持一致。</w:t>
      </w:r>
    </w:p>
    <w:p w14:paraId="13FE7187">
      <w:pPr>
        <w:autoSpaceDE w:val="0"/>
        <w:autoSpaceDN w:val="0"/>
        <w:adjustRightInd w:val="0"/>
        <w:spacing w:line="360" w:lineRule="auto"/>
        <w:ind w:firstLine="480" w:firstLineChars="200"/>
        <w:rPr>
          <w:sz w:val="24"/>
        </w:rPr>
      </w:pPr>
      <w:r>
        <w:rPr>
          <w:rFonts w:hint="eastAsia"/>
          <w:sz w:val="24"/>
        </w:rPr>
        <w:t>2. 供应商须在投标文件中如实完整填报售后服务保障体系信息，可依托所投产品生产制造商官方售后服务体系及全国服务网点为本项目提供服务。供应商须详细列明服务落地机构固定办公地址、24 小时专属服务热线、专属技术支撑人员数量及资质情况，并提供可核验佐证材料（自有团队可提供社保、资质证书；依托厂家体系的，可提供厂家官方服务网点公示信息、厂家技术支撑承诺说明）。本项目要求具备常态化、可落地、可兜底的原厂级售后服务能力，全程由品牌正规售后体系提供技术、备件、现场运维支撑。杜绝无正规厂家服务体系支撑、无固定服务场地、无专职技术兜底人员的白牌设备、杂牌厂商及空壳中间商履约，保障项目售后响应及时、服务持续稳定。</w:t>
      </w:r>
    </w:p>
    <w:p w14:paraId="2355FBF8">
      <w:pPr>
        <w:autoSpaceDE w:val="0"/>
        <w:autoSpaceDN w:val="0"/>
        <w:adjustRightInd w:val="0"/>
        <w:spacing w:line="360" w:lineRule="auto"/>
        <w:ind w:firstLine="480" w:firstLineChars="200"/>
        <w:rPr>
          <w:sz w:val="24"/>
        </w:rPr>
      </w:pPr>
      <w:r>
        <w:rPr>
          <w:rFonts w:hint="eastAsia"/>
          <w:sz w:val="24"/>
        </w:rPr>
        <w:t>3. 供应商须在投标文件中提供完整、真实的原厂标准易耗品、配套消耗材料明细价格清单及对应投标折扣率；同时提供质保期届满后，设备日常维修、零部件更换、故障处置对应的全套价格清单及长期优惠折扣率。所有报价清单须清晰规范、可追溯、可核验，承诺中标后履约价格不高于投标公示价格，不得随意涨价，保障采购人后期运维成本可控。</w:t>
      </w:r>
    </w:p>
    <w:p w14:paraId="34B02E37">
      <w:pPr>
        <w:autoSpaceDE w:val="0"/>
        <w:autoSpaceDN w:val="0"/>
        <w:adjustRightInd w:val="0"/>
        <w:spacing w:line="360" w:lineRule="auto"/>
        <w:ind w:firstLine="480" w:firstLineChars="200"/>
        <w:rPr>
          <w:sz w:val="24"/>
        </w:rPr>
      </w:pPr>
      <w:r>
        <w:rPr>
          <w:rFonts w:hint="eastAsia"/>
          <w:sz w:val="24"/>
        </w:rPr>
        <w:t>4. 提供现场技术培训服务，所有培训课程体系、授课标准、讲师资质均依托所投产品生产制造商官方运维培训体系制定；供应商可委派自身经生产厂家统一认证的在岗工程师，或生产厂家直属持证技术工程师赴采购人现场开展专项运维培训，严禁无厂家官方认证资质人员、临时外聘社会讲师、第三方培训机构人员授课。 培训讲师相关资质证明、完整培训课件、分阶段授课方案须在培训启动前提交采购人审核备案。培训总周期不少于 2 个工作日，单次授课时长不低于 2 小时；培训涵盖服务器基础操作、存储系统管理、设备故障排查、常态化巡检、数据备份恢复、运维安全管理等实操课程，全程侧重机房实景实操演练。培训结束后组织现场实操测评，确保采购人技术人员可独立完成全套设备运维工作；培训完毕同步交付全套原厂运维手册、操作台账、备份策略文档留存归档。供应商无法依托生产厂家技术资源开展培训、讲师无厂家认证资质、培训时长不达标、未交付全套资料或参训人员考核未通过的，均视为培训履约不合格，采购人有权要求供应商免费重新组织培训直至验收合格，期间产生的全部成本由供应商自行承担；若供应商始终无法完成达标培训，采购人可追究整体违约责任。</w:t>
      </w:r>
    </w:p>
    <w:p w14:paraId="26C9C921">
      <w:pPr>
        <w:spacing w:line="360" w:lineRule="auto"/>
        <w:ind w:firstLine="480" w:firstLineChars="200"/>
        <w:rPr>
          <w:rFonts w:hint="eastAsia" w:ascii="宋体" w:hAnsi="宋体"/>
          <w:b/>
          <w:sz w:val="24"/>
        </w:rPr>
      </w:pPr>
      <w:r>
        <w:rPr>
          <w:rFonts w:hint="eastAsia"/>
          <w:sz w:val="24"/>
        </w:rPr>
        <w:t>5. 供应商须全程依托产品生产制造商全国售后服务网络、备件库、技术中台开展质保、维修、培训全流程服务，承诺质保期内所有硬件备件、技术方案、故障研判均获得原厂官方技术兜底支持，无法获取厂家技术支撑造成运维故障的，全部责任由供应商承担。</w:t>
      </w:r>
    </w:p>
    <w:p w14:paraId="3D950699">
      <w:pPr>
        <w:autoSpaceDE w:val="0"/>
        <w:autoSpaceDN w:val="0"/>
        <w:adjustRightInd w:val="0"/>
        <w:spacing w:line="360" w:lineRule="auto"/>
        <w:ind w:firstLine="480" w:firstLineChars="200"/>
        <w:rPr>
          <w:sz w:val="24"/>
        </w:rPr>
      </w:pPr>
      <w:r>
        <w:rPr>
          <w:rFonts w:hint="eastAsia"/>
          <w:sz w:val="24"/>
          <w:szCs w:val="24"/>
        </w:rPr>
        <w:t>★</w:t>
      </w:r>
      <w:r>
        <w:rPr>
          <w:rFonts w:hint="eastAsia"/>
          <w:sz w:val="24"/>
        </w:rPr>
        <w:t>（三）交货要求</w:t>
      </w:r>
    </w:p>
    <w:p w14:paraId="192AFC8B">
      <w:pPr>
        <w:autoSpaceDE w:val="0"/>
        <w:autoSpaceDN w:val="0"/>
        <w:adjustRightInd w:val="0"/>
        <w:spacing w:line="360" w:lineRule="auto"/>
        <w:ind w:firstLine="480" w:firstLineChars="200"/>
        <w:rPr>
          <w:sz w:val="24"/>
        </w:rPr>
      </w:pPr>
      <w:r>
        <w:rPr>
          <w:rFonts w:hint="eastAsia"/>
          <w:sz w:val="24"/>
        </w:rPr>
        <w:t>1. 交货期</w:t>
      </w:r>
    </w:p>
    <w:p w14:paraId="26C91CC5">
      <w:pPr>
        <w:spacing w:line="360" w:lineRule="auto"/>
        <w:ind w:firstLine="480" w:firstLineChars="200"/>
        <w:outlineLvl w:val="0"/>
        <w:rPr>
          <w:sz w:val="24"/>
        </w:rPr>
      </w:pPr>
      <w:r>
        <w:rPr>
          <w:rFonts w:hint="eastAsia"/>
          <w:sz w:val="24"/>
        </w:rPr>
        <w:t>货到：签订合同之日起7日内（特殊情况以合同为准）。</w:t>
      </w:r>
    </w:p>
    <w:p w14:paraId="0C616C8A">
      <w:pPr>
        <w:spacing w:line="360" w:lineRule="auto"/>
        <w:ind w:firstLine="480" w:firstLineChars="200"/>
        <w:outlineLvl w:val="0"/>
        <w:rPr>
          <w:sz w:val="24"/>
        </w:rPr>
      </w:pPr>
      <w:r>
        <w:rPr>
          <w:rFonts w:hint="eastAsia"/>
          <w:sz w:val="24"/>
        </w:rPr>
        <w:t>安装（施工）完成：货到之日起15日内（特殊情况以合同为准）。</w:t>
      </w:r>
    </w:p>
    <w:p w14:paraId="108D9BBD">
      <w:pPr>
        <w:spacing w:line="360" w:lineRule="auto"/>
        <w:ind w:firstLine="480" w:firstLineChars="200"/>
        <w:rPr>
          <w:rFonts w:hint="eastAsia" w:ascii="宋体" w:hAnsi="宋体"/>
          <w:sz w:val="24"/>
        </w:rPr>
      </w:pPr>
      <w:r>
        <w:rPr>
          <w:rFonts w:hint="eastAsia"/>
          <w:sz w:val="24"/>
        </w:rPr>
        <w:t>2. 付款方式：货到安装调试完成验收合格之日起7日内支付合同总额的100%（特殊情况以合同为准）</w:t>
      </w:r>
    </w:p>
    <w:p w14:paraId="239C5E94">
      <w:pPr>
        <w:autoSpaceDE w:val="0"/>
        <w:autoSpaceDN w:val="0"/>
        <w:spacing w:line="360" w:lineRule="auto"/>
        <w:ind w:firstLine="482" w:firstLineChars="200"/>
        <w:rPr>
          <w:b/>
          <w:sz w:val="24"/>
        </w:rPr>
      </w:pPr>
      <w:r>
        <w:rPr>
          <w:rFonts w:hint="eastAsia"/>
          <w:b/>
          <w:sz w:val="24"/>
        </w:rPr>
        <w:t>六、验收标准</w:t>
      </w:r>
    </w:p>
    <w:p w14:paraId="40E52118">
      <w:pPr>
        <w:spacing w:line="360" w:lineRule="auto"/>
        <w:ind w:firstLine="482" w:firstLineChars="200"/>
        <w:rPr>
          <w:rFonts w:hint="eastAsia" w:ascii="宋体" w:hAnsi="宋体"/>
          <w:b/>
          <w:sz w:val="24"/>
        </w:rPr>
      </w:pPr>
      <w:bookmarkStart w:id="1" w:name="heading_0"/>
      <w:r>
        <w:rPr>
          <w:rFonts w:hint="eastAsia" w:ascii="宋体" w:hAnsi="宋体"/>
          <w:b/>
          <w:sz w:val="24"/>
        </w:rPr>
        <w:t>1.验收依据</w:t>
      </w:r>
      <w:bookmarkEnd w:id="1"/>
    </w:p>
    <w:p w14:paraId="31335A94">
      <w:pPr>
        <w:spacing w:line="360" w:lineRule="auto"/>
        <w:ind w:firstLine="480" w:firstLineChars="200"/>
        <w:outlineLvl w:val="0"/>
        <w:rPr>
          <w:sz w:val="24"/>
        </w:rPr>
      </w:pPr>
      <w:r>
        <w:rPr>
          <w:rFonts w:hint="eastAsia"/>
          <w:sz w:val="24"/>
        </w:rPr>
        <w:t>（1）本次项目采购招标文件、投标文件、中标通知书及正式采购合同；</w:t>
      </w:r>
    </w:p>
    <w:p w14:paraId="1A26B6D6">
      <w:pPr>
        <w:spacing w:line="360" w:lineRule="auto"/>
        <w:ind w:firstLine="480" w:firstLineChars="200"/>
        <w:outlineLvl w:val="0"/>
        <w:rPr>
          <w:sz w:val="24"/>
        </w:rPr>
      </w:pPr>
      <w:r>
        <w:rPr>
          <w:rFonts w:hint="eastAsia"/>
          <w:sz w:val="24"/>
        </w:rPr>
        <w:t>（2）设备原厂技术规格书、产品合格证；</w:t>
      </w:r>
    </w:p>
    <w:p w14:paraId="5A40E5C4">
      <w:pPr>
        <w:spacing w:line="360" w:lineRule="auto"/>
        <w:ind w:firstLine="480" w:firstLineChars="200"/>
        <w:outlineLvl w:val="0"/>
        <w:rPr>
          <w:sz w:val="24"/>
        </w:rPr>
      </w:pPr>
      <w:r>
        <w:rPr>
          <w:rFonts w:hint="eastAsia"/>
          <w:sz w:val="24"/>
        </w:rPr>
        <w:t>（3）《高性能计算服务器技术规范》《信息技术设备安全通用要求》等国家及行业标准；</w:t>
      </w:r>
    </w:p>
    <w:p w14:paraId="06BB689F">
      <w:pPr>
        <w:spacing w:line="360" w:lineRule="auto"/>
        <w:ind w:firstLine="480" w:firstLineChars="200"/>
        <w:outlineLvl w:val="0"/>
        <w:rPr>
          <w:sz w:val="24"/>
        </w:rPr>
      </w:pPr>
      <w:r>
        <w:rPr>
          <w:rFonts w:hint="eastAsia"/>
          <w:sz w:val="24"/>
        </w:rPr>
        <w:t>（4）供需双方确认的技术实施方案、安装部署方案及培训方案。</w:t>
      </w:r>
    </w:p>
    <w:p w14:paraId="5EA95C20">
      <w:pPr>
        <w:spacing w:line="360" w:lineRule="auto"/>
        <w:ind w:firstLine="482" w:firstLineChars="200"/>
        <w:rPr>
          <w:rFonts w:hint="eastAsia" w:ascii="宋体" w:hAnsi="宋体"/>
          <w:b/>
          <w:sz w:val="24"/>
        </w:rPr>
      </w:pPr>
      <w:bookmarkStart w:id="2" w:name="heading_3"/>
      <w:r>
        <w:rPr>
          <w:rFonts w:hint="eastAsia" w:ascii="宋体" w:hAnsi="宋体"/>
          <w:b/>
          <w:sz w:val="24"/>
        </w:rPr>
        <w:t>2.项目验收流程及标准</w:t>
      </w:r>
      <w:bookmarkEnd w:id="2"/>
    </w:p>
    <w:p w14:paraId="22401297">
      <w:pPr>
        <w:spacing w:line="360" w:lineRule="auto"/>
        <w:ind w:firstLine="480" w:firstLineChars="200"/>
        <w:outlineLvl w:val="0"/>
        <w:rPr>
          <w:sz w:val="24"/>
        </w:rPr>
      </w:pPr>
      <w:r>
        <w:rPr>
          <w:rFonts w:hint="eastAsia"/>
          <w:sz w:val="24"/>
        </w:rPr>
        <w:t>本项目验收分为到货初验、安装调试验收、性能终验三个阶段，各阶段验收合格后方可进入下一环节，所有验收资料统一归档留存。</w:t>
      </w:r>
    </w:p>
    <w:p w14:paraId="0F15F1F7">
      <w:pPr>
        <w:spacing w:line="360" w:lineRule="auto"/>
        <w:ind w:firstLine="482" w:firstLineChars="200"/>
        <w:outlineLvl w:val="0"/>
        <w:rPr>
          <w:rFonts w:hint="eastAsia" w:ascii="宋体" w:hAnsi="宋体"/>
          <w:b/>
          <w:sz w:val="24"/>
        </w:rPr>
      </w:pPr>
      <w:bookmarkStart w:id="3" w:name="heading_4"/>
      <w:r>
        <w:rPr>
          <w:rFonts w:hint="eastAsia" w:ascii="宋体" w:hAnsi="宋体"/>
          <w:b/>
          <w:sz w:val="24"/>
        </w:rPr>
        <w:t>（1）到货初验</w:t>
      </w:r>
      <w:bookmarkEnd w:id="3"/>
    </w:p>
    <w:p w14:paraId="57F052AB">
      <w:pPr>
        <w:spacing w:line="360" w:lineRule="auto"/>
        <w:ind w:firstLine="480" w:firstLineChars="200"/>
        <w:outlineLvl w:val="0"/>
        <w:rPr>
          <w:sz w:val="24"/>
        </w:rPr>
      </w:pPr>
      <w:r>
        <w:rPr>
          <w:rFonts w:hint="eastAsia"/>
          <w:sz w:val="24"/>
        </w:rPr>
        <w:t>设备到货后，供需双方、设备处代表、校内计算机专家共同到场开展到货初验，重点核查设备完整性与外观完好性。</w:t>
      </w:r>
    </w:p>
    <w:p w14:paraId="39A03DF7">
      <w:pPr>
        <w:spacing w:line="360" w:lineRule="auto"/>
        <w:ind w:firstLine="482" w:firstLineChars="200"/>
        <w:outlineLvl w:val="0"/>
        <w:rPr>
          <w:rFonts w:hint="eastAsia" w:ascii="宋体" w:hAnsi="宋体"/>
          <w:b/>
          <w:sz w:val="24"/>
        </w:rPr>
      </w:pPr>
      <w:r>
        <w:rPr>
          <w:rFonts w:hint="eastAsia" w:ascii="宋体" w:hAnsi="宋体"/>
          <w:b/>
          <w:sz w:val="24"/>
        </w:rPr>
        <w:t>验收内容：</w:t>
      </w:r>
    </w:p>
    <w:p w14:paraId="53761062">
      <w:pPr>
        <w:spacing w:line="360" w:lineRule="auto"/>
        <w:ind w:firstLine="480" w:firstLineChars="200"/>
        <w:outlineLvl w:val="0"/>
        <w:rPr>
          <w:sz w:val="24"/>
        </w:rPr>
      </w:pPr>
      <w:r>
        <w:rPr>
          <w:rFonts w:hint="eastAsia"/>
          <w:sz w:val="24"/>
        </w:rPr>
        <w:t>核查服务器主机、CPU、内存、硬盘、显卡、网卡、电源、散热模块等全套硬件设备型号、数量；检查设备外包装是否完好、无破损、无拆装痕迹；核对设备序列号、出厂编号、合格证、保修卡、驱动光盘、配套线材及附件是否齐全。</w:t>
      </w:r>
    </w:p>
    <w:p w14:paraId="735F6FC4">
      <w:pPr>
        <w:spacing w:line="360" w:lineRule="auto"/>
        <w:ind w:firstLine="482" w:firstLineChars="200"/>
        <w:outlineLvl w:val="0"/>
        <w:rPr>
          <w:rFonts w:hint="eastAsia" w:ascii="宋体" w:hAnsi="宋体"/>
          <w:b/>
          <w:sz w:val="24"/>
        </w:rPr>
      </w:pPr>
      <w:r>
        <w:rPr>
          <w:rFonts w:hint="eastAsia" w:ascii="宋体" w:hAnsi="宋体"/>
          <w:b/>
          <w:sz w:val="24"/>
        </w:rPr>
        <w:t>验收标准：</w:t>
      </w:r>
    </w:p>
    <w:p w14:paraId="2F4FAF2F">
      <w:pPr>
        <w:spacing w:line="360" w:lineRule="auto"/>
        <w:ind w:firstLine="480" w:firstLineChars="200"/>
        <w:outlineLvl w:val="0"/>
        <w:rPr>
          <w:sz w:val="24"/>
        </w:rPr>
      </w:pPr>
      <w:r>
        <w:rPr>
          <w:rFonts w:hint="eastAsia"/>
          <w:sz w:val="24"/>
        </w:rPr>
        <w:t>所有设备与合同采购清单完全一致，无缺件、少件、错件；设备外观无划痕、变形、掉漆、损坏；设备为全新未拆封、未使用原厂正品设备，无翻新、返修设备。</w:t>
      </w:r>
    </w:p>
    <w:p w14:paraId="1F007704">
      <w:pPr>
        <w:spacing w:line="360" w:lineRule="auto"/>
        <w:ind w:firstLine="482" w:firstLineChars="200"/>
        <w:outlineLvl w:val="0"/>
        <w:rPr>
          <w:rFonts w:hint="eastAsia" w:ascii="宋体" w:hAnsi="宋体"/>
          <w:b/>
          <w:sz w:val="24"/>
        </w:rPr>
      </w:pPr>
      <w:r>
        <w:rPr>
          <w:rFonts w:hint="eastAsia" w:ascii="宋体" w:hAnsi="宋体"/>
          <w:b/>
          <w:sz w:val="24"/>
        </w:rPr>
        <w:t>验收结果：</w:t>
      </w:r>
    </w:p>
    <w:p w14:paraId="6FE29F3B">
      <w:pPr>
        <w:spacing w:line="360" w:lineRule="auto"/>
        <w:ind w:firstLine="480" w:firstLineChars="200"/>
        <w:outlineLvl w:val="0"/>
        <w:rPr>
          <w:sz w:val="24"/>
        </w:rPr>
      </w:pPr>
      <w:r>
        <w:rPr>
          <w:rFonts w:hint="eastAsia"/>
          <w:sz w:val="24"/>
        </w:rPr>
        <w:t>初验合格后签署《到货验收单》；若存在设备破损、配件缺失、型号不符等问题，供方需在约定时限内无条件更换、补齐，重新组织初验，由此产生的所有费用由供方承担。</w:t>
      </w:r>
    </w:p>
    <w:p w14:paraId="64037EE9">
      <w:pPr>
        <w:spacing w:line="360" w:lineRule="auto"/>
        <w:ind w:firstLine="482" w:firstLineChars="200"/>
        <w:outlineLvl w:val="0"/>
        <w:rPr>
          <w:rFonts w:hint="eastAsia" w:ascii="宋体" w:hAnsi="宋体"/>
          <w:b/>
          <w:sz w:val="24"/>
        </w:rPr>
      </w:pPr>
      <w:bookmarkStart w:id="4" w:name="heading_5"/>
      <w:r>
        <w:rPr>
          <w:rFonts w:hint="eastAsia" w:ascii="宋体" w:hAnsi="宋体"/>
          <w:b/>
          <w:sz w:val="24"/>
        </w:rPr>
        <w:t>（2）安装调试验收</w:t>
      </w:r>
      <w:bookmarkEnd w:id="4"/>
    </w:p>
    <w:p w14:paraId="7528A0CF">
      <w:pPr>
        <w:spacing w:line="360" w:lineRule="auto"/>
        <w:ind w:firstLine="480" w:firstLineChars="200"/>
        <w:outlineLvl w:val="0"/>
        <w:rPr>
          <w:rFonts w:ascii="Times New Roman" w:hAnsi="Times New Roman"/>
          <w:sz w:val="24"/>
        </w:rPr>
      </w:pPr>
      <w:r>
        <w:rPr>
          <w:rFonts w:hint="eastAsia"/>
          <w:sz w:val="24"/>
        </w:rPr>
        <w:t>到货初验合格后，供方安排专业技术人员进场完成设备安装、硬件组装、系统部署、环境调试等工作，完成后组织安装调试验收。</w:t>
      </w:r>
    </w:p>
    <w:p w14:paraId="32AE222E">
      <w:pPr>
        <w:spacing w:line="360" w:lineRule="auto"/>
        <w:ind w:firstLine="482" w:firstLineChars="200"/>
        <w:outlineLvl w:val="0"/>
        <w:rPr>
          <w:rFonts w:hint="eastAsia" w:ascii="宋体" w:hAnsi="宋体"/>
          <w:b/>
          <w:sz w:val="24"/>
        </w:rPr>
      </w:pPr>
      <w:r>
        <w:rPr>
          <w:rFonts w:hint="eastAsia" w:ascii="宋体" w:hAnsi="宋体"/>
          <w:b/>
          <w:sz w:val="24"/>
        </w:rPr>
        <w:t>验收内容：</w:t>
      </w:r>
    </w:p>
    <w:p w14:paraId="5D6217A6">
      <w:pPr>
        <w:spacing w:line="360" w:lineRule="auto"/>
        <w:ind w:firstLine="480" w:firstLineChars="200"/>
        <w:outlineLvl w:val="0"/>
        <w:rPr>
          <w:sz w:val="24"/>
        </w:rPr>
      </w:pPr>
      <w:r>
        <w:rPr>
          <w:rFonts w:hint="eastAsia"/>
          <w:sz w:val="24"/>
        </w:rPr>
        <w:t>核查设备机房安装布局、机柜布线、供电散热、接地防护是否符合机房规范；完成服务器开机自检、硬件识别测试、操作系统安装、驱动适配；核查设备各项基础硬件参数与采购技术参数一致，无硬件识别异常、报错、兼容故障。</w:t>
      </w:r>
    </w:p>
    <w:p w14:paraId="17322C73">
      <w:pPr>
        <w:spacing w:line="360" w:lineRule="auto"/>
        <w:ind w:firstLine="482" w:firstLineChars="200"/>
        <w:outlineLvl w:val="0"/>
        <w:rPr>
          <w:rFonts w:hint="eastAsia" w:ascii="宋体" w:hAnsi="宋体"/>
          <w:b/>
          <w:sz w:val="24"/>
        </w:rPr>
      </w:pPr>
      <w:r>
        <w:rPr>
          <w:rFonts w:hint="eastAsia" w:ascii="宋体" w:hAnsi="宋体"/>
          <w:b/>
          <w:sz w:val="24"/>
        </w:rPr>
        <w:t>验收标准：</w:t>
      </w:r>
    </w:p>
    <w:p w14:paraId="7ADFF5E4">
      <w:pPr>
        <w:spacing w:line="360" w:lineRule="auto"/>
        <w:ind w:firstLine="480" w:firstLineChars="200"/>
        <w:outlineLvl w:val="0"/>
        <w:rPr>
          <w:sz w:val="24"/>
        </w:rPr>
      </w:pPr>
      <w:r>
        <w:rPr>
          <w:rFonts w:hint="eastAsia"/>
          <w:sz w:val="24"/>
        </w:rPr>
        <w:t>设备安装牢固、布线规整、标识清晰，符合机房安全运维标准；服务器开机正常、无报错、无异响、无硬件告警；所有硬件模块均可正常识别、稳定运行，操作系统、驱动程序、配套软件安装完整、适配正常，网络通信、数据传输稳定。</w:t>
      </w:r>
    </w:p>
    <w:p w14:paraId="7CE91BEB">
      <w:pPr>
        <w:spacing w:line="360" w:lineRule="auto"/>
        <w:ind w:firstLine="482" w:firstLineChars="200"/>
        <w:outlineLvl w:val="0"/>
        <w:rPr>
          <w:rFonts w:hint="eastAsia" w:ascii="宋体" w:hAnsi="宋体"/>
          <w:b/>
          <w:sz w:val="24"/>
        </w:rPr>
      </w:pPr>
      <w:r>
        <w:rPr>
          <w:rFonts w:hint="eastAsia" w:ascii="宋体" w:hAnsi="宋体"/>
          <w:b/>
          <w:sz w:val="24"/>
        </w:rPr>
        <w:t>验收结果：</w:t>
      </w:r>
    </w:p>
    <w:p w14:paraId="15E0FC63">
      <w:pPr>
        <w:spacing w:line="360" w:lineRule="auto"/>
        <w:ind w:firstLine="480" w:firstLineChars="200"/>
        <w:outlineLvl w:val="0"/>
        <w:rPr>
          <w:sz w:val="24"/>
        </w:rPr>
      </w:pPr>
      <w:r>
        <w:rPr>
          <w:rFonts w:hint="eastAsia"/>
          <w:sz w:val="24"/>
        </w:rPr>
        <w:t>调试合格后签署《安装调试验收单》；若出现安装不规范、硬件不兼容、系统故障、组网异常等问题，供方需即时整改调试，直至验收合格。</w:t>
      </w:r>
    </w:p>
    <w:p w14:paraId="733F18BC">
      <w:pPr>
        <w:spacing w:line="360" w:lineRule="auto"/>
        <w:ind w:firstLine="482" w:firstLineChars="200"/>
        <w:outlineLvl w:val="0"/>
        <w:rPr>
          <w:rFonts w:hint="eastAsia" w:ascii="宋体" w:hAnsi="宋体"/>
          <w:b/>
          <w:sz w:val="24"/>
        </w:rPr>
      </w:pPr>
      <w:bookmarkStart w:id="5" w:name="heading_6"/>
      <w:r>
        <w:rPr>
          <w:rFonts w:hint="eastAsia" w:ascii="宋体" w:hAnsi="宋体"/>
          <w:b/>
          <w:sz w:val="24"/>
        </w:rPr>
        <w:t>（3）性能终验</w:t>
      </w:r>
      <w:bookmarkEnd w:id="5"/>
    </w:p>
    <w:p w14:paraId="56A4DC08">
      <w:pPr>
        <w:spacing w:line="360" w:lineRule="auto"/>
        <w:ind w:firstLine="480" w:firstLineChars="200"/>
        <w:outlineLvl w:val="0"/>
        <w:rPr>
          <w:rFonts w:ascii="Times New Roman" w:hAnsi="Times New Roman"/>
          <w:sz w:val="24"/>
        </w:rPr>
      </w:pPr>
      <w:r>
        <w:rPr>
          <w:rFonts w:hint="eastAsia"/>
          <w:sz w:val="24"/>
        </w:rPr>
        <w:t>安装调试完成后，设备试运行7个工作日，运行稳定无异常后，开展项目整体性能终验，为项目最终交付验收节点。</w:t>
      </w:r>
    </w:p>
    <w:p w14:paraId="0D9A02F0">
      <w:pPr>
        <w:spacing w:line="360" w:lineRule="auto"/>
        <w:ind w:firstLine="482" w:firstLineChars="200"/>
        <w:outlineLvl w:val="0"/>
        <w:rPr>
          <w:rFonts w:hint="eastAsia" w:ascii="宋体" w:hAnsi="宋体"/>
          <w:b/>
          <w:sz w:val="24"/>
        </w:rPr>
      </w:pPr>
      <w:r>
        <w:rPr>
          <w:rFonts w:hint="eastAsia" w:ascii="宋体" w:hAnsi="宋体"/>
          <w:b/>
          <w:sz w:val="24"/>
        </w:rPr>
        <w:t>验收内容：</w:t>
      </w:r>
    </w:p>
    <w:p w14:paraId="686F7778">
      <w:pPr>
        <w:spacing w:line="360" w:lineRule="auto"/>
        <w:ind w:firstLine="480" w:firstLineChars="200"/>
        <w:outlineLvl w:val="0"/>
        <w:rPr>
          <w:sz w:val="24"/>
        </w:rPr>
      </w:pPr>
      <w:r>
        <w:rPr>
          <w:rFonts w:hint="eastAsia"/>
          <w:sz w:val="24"/>
        </w:rPr>
        <w:t>开展设备满载压力测试、算力性能测试、稳定性测试、数据读写测试、长时间连续运行测试；核验设备算力、运算速度、并发处理能力、存储读写速率、网络带宽、散热稳定性等核心性能指标；核查配套技术培训、资料交付、售后对接等全部合同内容完成情况。</w:t>
      </w:r>
    </w:p>
    <w:p w14:paraId="17471EF9">
      <w:pPr>
        <w:spacing w:line="360" w:lineRule="auto"/>
        <w:ind w:firstLine="482" w:firstLineChars="200"/>
        <w:outlineLvl w:val="0"/>
        <w:rPr>
          <w:rFonts w:hint="eastAsia" w:ascii="宋体" w:hAnsi="宋体"/>
          <w:b/>
          <w:sz w:val="24"/>
        </w:rPr>
      </w:pPr>
      <w:r>
        <w:rPr>
          <w:rFonts w:hint="eastAsia" w:ascii="宋体" w:hAnsi="宋体"/>
          <w:b/>
          <w:sz w:val="24"/>
        </w:rPr>
        <w:t>验收标准：</w:t>
      </w:r>
    </w:p>
    <w:p w14:paraId="1E7BEAE9">
      <w:pPr>
        <w:spacing w:line="360" w:lineRule="auto"/>
        <w:ind w:firstLine="480" w:firstLineChars="200"/>
        <w:outlineLvl w:val="0"/>
        <w:rPr>
          <w:sz w:val="24"/>
        </w:rPr>
      </w:pPr>
      <w:r>
        <w:rPr>
          <w:rFonts w:hint="eastAsia"/>
          <w:sz w:val="24"/>
        </w:rPr>
        <w:t>设备7×24小时试运行无宕机、无重启、无硬件报错、无性能卡顿；核心算力指标、硬件参数、运行性能完全满足采购需求及合同约定标准；压力测试、满载测试运行稳定，各项性能参数达标；全套项目资料、技术文档、培训记录完整合规，满足甲方使用及运维需求。</w:t>
      </w:r>
    </w:p>
    <w:p w14:paraId="12EFA5D1">
      <w:pPr>
        <w:spacing w:line="360" w:lineRule="auto"/>
        <w:ind w:firstLine="482" w:firstLineChars="200"/>
        <w:outlineLvl w:val="0"/>
        <w:rPr>
          <w:rFonts w:hint="eastAsia" w:ascii="宋体" w:hAnsi="宋体"/>
          <w:b/>
          <w:sz w:val="24"/>
        </w:rPr>
      </w:pPr>
      <w:r>
        <w:rPr>
          <w:rFonts w:hint="eastAsia" w:ascii="宋体" w:hAnsi="宋体"/>
          <w:b/>
          <w:sz w:val="24"/>
        </w:rPr>
        <w:t>验收结果：</w:t>
      </w:r>
    </w:p>
    <w:p w14:paraId="0EB90D1C">
      <w:pPr>
        <w:spacing w:line="360" w:lineRule="auto"/>
        <w:ind w:firstLine="480" w:firstLineChars="200"/>
        <w:outlineLvl w:val="0"/>
        <w:rPr>
          <w:rFonts w:ascii="Times New Roman" w:hAnsi="Times New Roman"/>
          <w:sz w:val="24"/>
        </w:rPr>
      </w:pPr>
      <w:r>
        <w:rPr>
          <w:rFonts w:hint="eastAsia"/>
          <w:sz w:val="24"/>
        </w:rPr>
        <w:t>终验合格后，供需双方签署《政府采购履约验收意见报告(货物类)》，项目正式交付，进入售后维保阶段；若性能指标不达标、运行不稳定，供方需限期优化调试、更换硬件，直至整体验收合格，逾期未达标按合同违约条款处理。</w:t>
      </w:r>
    </w:p>
    <w:p w14:paraId="6C3897E7">
      <w:pPr>
        <w:spacing w:line="360" w:lineRule="auto"/>
        <w:ind w:firstLine="482" w:firstLineChars="200"/>
        <w:rPr>
          <w:rFonts w:hint="eastAsia" w:ascii="宋体" w:hAnsi="宋体"/>
          <w:b/>
          <w:sz w:val="24"/>
        </w:rPr>
      </w:pPr>
      <w:bookmarkStart w:id="6" w:name="heading_7"/>
      <w:r>
        <w:rPr>
          <w:rFonts w:hint="eastAsia" w:ascii="宋体" w:hAnsi="宋体"/>
          <w:b/>
          <w:sz w:val="24"/>
        </w:rPr>
        <w:t>3.完整交付资料要求</w:t>
      </w:r>
      <w:bookmarkEnd w:id="6"/>
    </w:p>
    <w:p w14:paraId="5228639D">
      <w:pPr>
        <w:spacing w:line="360" w:lineRule="auto"/>
        <w:ind w:firstLine="480" w:firstLineChars="200"/>
        <w:outlineLvl w:val="0"/>
        <w:rPr>
          <w:sz w:val="24"/>
        </w:rPr>
      </w:pPr>
      <w:r>
        <w:rPr>
          <w:rFonts w:hint="eastAsia"/>
          <w:sz w:val="24"/>
        </w:rPr>
        <w:t>项目验收交付时，供方需完整提交以下资料：</w:t>
      </w:r>
    </w:p>
    <w:p w14:paraId="7282710C">
      <w:pPr>
        <w:spacing w:line="360" w:lineRule="auto"/>
        <w:ind w:firstLine="480" w:firstLineChars="200"/>
        <w:outlineLvl w:val="0"/>
        <w:rPr>
          <w:sz w:val="24"/>
        </w:rPr>
      </w:pPr>
      <w:r>
        <w:rPr>
          <w:rFonts w:hint="eastAsia"/>
          <w:sz w:val="24"/>
        </w:rPr>
        <w:t>（1）设备合格证、保修凭证；</w:t>
      </w:r>
    </w:p>
    <w:p w14:paraId="1137D299">
      <w:pPr>
        <w:spacing w:line="360" w:lineRule="auto"/>
        <w:ind w:firstLine="480" w:firstLineChars="200"/>
        <w:outlineLvl w:val="0"/>
        <w:rPr>
          <w:sz w:val="24"/>
        </w:rPr>
      </w:pPr>
      <w:r>
        <w:rPr>
          <w:rFonts w:hint="eastAsia"/>
          <w:sz w:val="24"/>
        </w:rPr>
        <w:t>（2）全套设备技术手册、驱动及配套软件安装包；</w:t>
      </w:r>
    </w:p>
    <w:p w14:paraId="2596E72A">
      <w:pPr>
        <w:spacing w:line="360" w:lineRule="auto"/>
        <w:ind w:firstLine="480" w:firstLineChars="200"/>
        <w:outlineLvl w:val="0"/>
        <w:rPr>
          <w:sz w:val="24"/>
        </w:rPr>
      </w:pPr>
      <w:r>
        <w:rPr>
          <w:rFonts w:hint="eastAsia"/>
          <w:sz w:val="24"/>
        </w:rPr>
        <w:t>（3）到货验收单、安装调试记录、试运行报告、性能测试报告、竣工验收报告；</w:t>
      </w:r>
    </w:p>
    <w:p w14:paraId="2348F3A2">
      <w:pPr>
        <w:spacing w:line="360" w:lineRule="auto"/>
        <w:ind w:firstLine="480" w:firstLineChars="200"/>
        <w:outlineLvl w:val="0"/>
        <w:rPr>
          <w:sz w:val="24"/>
        </w:rPr>
      </w:pPr>
      <w:r>
        <w:rPr>
          <w:rFonts w:hint="eastAsia"/>
          <w:sz w:val="24"/>
        </w:rPr>
        <w:t>（4）设备序列号清单、硬件配置清单、维保服务承诺书（需明确前3年免费质保及后2年免人工费、仅收配件费的服务条款）、售后联系方式及服务预案。</w:t>
      </w:r>
    </w:p>
    <w:p w14:paraId="09C0AC57">
      <w:pPr>
        <w:spacing w:line="360" w:lineRule="auto"/>
        <w:ind w:firstLine="482" w:firstLineChars="200"/>
        <w:outlineLvl w:val="0"/>
        <w:rPr>
          <w:b/>
          <w:sz w:val="24"/>
        </w:rPr>
      </w:pPr>
      <w:r>
        <w:rPr>
          <w:rFonts w:hint="eastAsia"/>
          <w:b/>
          <w:sz w:val="24"/>
        </w:rPr>
        <w:t>七、其他要求</w:t>
      </w:r>
    </w:p>
    <w:p w14:paraId="634B4FD6">
      <w:pPr>
        <w:autoSpaceDE w:val="0"/>
        <w:autoSpaceDN w:val="0"/>
        <w:adjustRightInd w:val="0"/>
        <w:spacing w:line="360" w:lineRule="auto"/>
        <w:ind w:firstLine="480" w:firstLineChars="200"/>
        <w:rPr>
          <w:sz w:val="24"/>
        </w:rPr>
      </w:pPr>
      <w:r>
        <w:rPr>
          <w:rFonts w:hint="eastAsia"/>
          <w:sz w:val="24"/>
        </w:rPr>
        <w:t>交货时要求供应商就所投产品提供产品说明书，同时采购人有权要求供应商对产品的合法供货渠道进行说明，经核实如供应商提供非法渠道的商品，视为欺诈，为维护采购人合法权益，供应商要承担商品价值双倍的赔偿；同时，依据现行的国家法律法规追究其他责任，并连带追究所投产品制造商的责任。</w:t>
      </w:r>
    </w:p>
    <w:p w14:paraId="561076B6">
      <w:pPr>
        <w:widowControl/>
        <w:jc w:val="left"/>
        <w:rPr>
          <w:rFonts w:hint="eastAsia" w:ascii="宋体" w:hAnsi="宋体"/>
          <w:sz w:val="24"/>
        </w:rPr>
        <w:sectPr>
          <w:pgSz w:w="11906" w:h="16838"/>
          <w:pgMar w:top="1440" w:right="1800" w:bottom="1440" w:left="1800" w:header="851" w:footer="992" w:gutter="0"/>
          <w:cols w:space="425" w:num="1"/>
          <w:docGrid w:type="lines" w:linePitch="312" w:charSpace="0"/>
        </w:sectPr>
      </w:pPr>
    </w:p>
    <w:p w14:paraId="05A92262">
      <w:pPr>
        <w:rPr>
          <w:rFonts w:hint="eastAsia" w:ascii="宋体" w:hAnsi="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F0F49"/>
    <w:rsid w:val="00007E72"/>
    <w:rsid w:val="00017A02"/>
    <w:rsid w:val="0004359A"/>
    <w:rsid w:val="0011092C"/>
    <w:rsid w:val="00196ADF"/>
    <w:rsid w:val="001C66E4"/>
    <w:rsid w:val="001D2E94"/>
    <w:rsid w:val="001D3675"/>
    <w:rsid w:val="001F4172"/>
    <w:rsid w:val="00244670"/>
    <w:rsid w:val="002E4AEC"/>
    <w:rsid w:val="00365C9B"/>
    <w:rsid w:val="00376825"/>
    <w:rsid w:val="00425129"/>
    <w:rsid w:val="00442648"/>
    <w:rsid w:val="00470988"/>
    <w:rsid w:val="00504AF4"/>
    <w:rsid w:val="00636189"/>
    <w:rsid w:val="00641804"/>
    <w:rsid w:val="00660B7E"/>
    <w:rsid w:val="007B6330"/>
    <w:rsid w:val="0088771F"/>
    <w:rsid w:val="00900C52"/>
    <w:rsid w:val="00A2351A"/>
    <w:rsid w:val="00A402EE"/>
    <w:rsid w:val="00A50324"/>
    <w:rsid w:val="00A7313B"/>
    <w:rsid w:val="00A80849"/>
    <w:rsid w:val="00AC55D3"/>
    <w:rsid w:val="00BA034D"/>
    <w:rsid w:val="00CC2316"/>
    <w:rsid w:val="00D04F28"/>
    <w:rsid w:val="00D55CAA"/>
    <w:rsid w:val="00DC2FA3"/>
    <w:rsid w:val="00E91EDD"/>
    <w:rsid w:val="00F33CC8"/>
    <w:rsid w:val="0472717F"/>
    <w:rsid w:val="04E15A38"/>
    <w:rsid w:val="064B4C39"/>
    <w:rsid w:val="092A0C0D"/>
    <w:rsid w:val="0A6C0264"/>
    <w:rsid w:val="0C7826EA"/>
    <w:rsid w:val="0F4825F1"/>
    <w:rsid w:val="11394D41"/>
    <w:rsid w:val="135C652D"/>
    <w:rsid w:val="14E2492D"/>
    <w:rsid w:val="19E00326"/>
    <w:rsid w:val="19F416DC"/>
    <w:rsid w:val="1ABD3604"/>
    <w:rsid w:val="1B3F0F49"/>
    <w:rsid w:val="1D1E53EE"/>
    <w:rsid w:val="203568AE"/>
    <w:rsid w:val="20FA7F20"/>
    <w:rsid w:val="211C0758"/>
    <w:rsid w:val="2C066957"/>
    <w:rsid w:val="2C0C4FAB"/>
    <w:rsid w:val="2E114AFB"/>
    <w:rsid w:val="39924D42"/>
    <w:rsid w:val="3F133585"/>
    <w:rsid w:val="409D5D7A"/>
    <w:rsid w:val="40D914A8"/>
    <w:rsid w:val="41E81277"/>
    <w:rsid w:val="4A353661"/>
    <w:rsid w:val="4DDE00FE"/>
    <w:rsid w:val="548D63DA"/>
    <w:rsid w:val="550E3B1C"/>
    <w:rsid w:val="58295886"/>
    <w:rsid w:val="5CAC13C7"/>
    <w:rsid w:val="5E79352B"/>
    <w:rsid w:val="5F476E93"/>
    <w:rsid w:val="60CC64DC"/>
    <w:rsid w:val="645E38EF"/>
    <w:rsid w:val="65F53318"/>
    <w:rsid w:val="667725A4"/>
    <w:rsid w:val="6A2904FB"/>
    <w:rsid w:val="709D579F"/>
    <w:rsid w:val="722515A8"/>
    <w:rsid w:val="73A02439"/>
    <w:rsid w:val="75620C9D"/>
    <w:rsid w:val="76733229"/>
    <w:rsid w:val="76C176A8"/>
    <w:rsid w:val="77EC0519"/>
    <w:rsid w:val="7820118F"/>
    <w:rsid w:val="79ED30EB"/>
    <w:rsid w:val="7B554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tabs>
        <w:tab w:val="center" w:pos="4153"/>
        <w:tab w:val="right" w:pos="8306"/>
      </w:tabs>
      <w:snapToGrid w:val="0"/>
      <w:jc w:val="center"/>
    </w:pPr>
    <w:rPr>
      <w:sz w:val="18"/>
      <w:szCs w:val="18"/>
    </w:rPr>
  </w:style>
  <w:style w:type="paragraph" w:styleId="5">
    <w:name w:val="Title"/>
    <w:basedOn w:val="1"/>
    <w:next w:val="1"/>
    <w:link w:val="13"/>
    <w:qFormat/>
    <w:uiPriority w:val="10"/>
    <w:pPr>
      <w:spacing w:before="240" w:after="60"/>
      <w:jc w:val="center"/>
      <w:outlineLvl w:val="0"/>
    </w:pPr>
    <w:rPr>
      <w:rFonts w:ascii="Cambria" w:hAnsi="Cambria"/>
      <w:b/>
      <w:bCs/>
      <w:sz w:val="32"/>
      <w:szCs w:val="32"/>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font61"/>
    <w:basedOn w:val="8"/>
    <w:qFormat/>
    <w:uiPriority w:val="0"/>
    <w:rPr>
      <w:rFonts w:hint="eastAsia" w:ascii="宋体" w:hAnsi="宋体" w:eastAsia="宋体" w:cs="宋体"/>
      <w:color w:val="000000"/>
      <w:sz w:val="18"/>
      <w:szCs w:val="18"/>
      <w:u w:val="none"/>
    </w:rPr>
  </w:style>
  <w:style w:type="character" w:customStyle="1" w:styleId="11">
    <w:name w:val="font51"/>
    <w:basedOn w:val="8"/>
    <w:qFormat/>
    <w:uiPriority w:val="0"/>
    <w:rPr>
      <w:rFonts w:hint="eastAsia" w:ascii="宋体" w:hAnsi="宋体" w:eastAsia="宋体" w:cs="宋体"/>
      <w:color w:val="000000"/>
      <w:sz w:val="18"/>
      <w:szCs w:val="18"/>
      <w:u w:val="none"/>
    </w:rPr>
  </w:style>
  <w:style w:type="character" w:customStyle="1" w:styleId="12">
    <w:name w:val="font81"/>
    <w:basedOn w:val="8"/>
    <w:qFormat/>
    <w:uiPriority w:val="0"/>
    <w:rPr>
      <w:rFonts w:hint="eastAsia" w:ascii="宋体" w:hAnsi="宋体" w:eastAsia="宋体" w:cs="宋体"/>
      <w:color w:val="000000"/>
      <w:sz w:val="18"/>
      <w:szCs w:val="18"/>
      <w:u w:val="none"/>
    </w:rPr>
  </w:style>
  <w:style w:type="character" w:customStyle="1" w:styleId="13">
    <w:name w:val="标题 字符"/>
    <w:basedOn w:val="8"/>
    <w:link w:val="5"/>
    <w:qFormat/>
    <w:uiPriority w:val="10"/>
    <w:rPr>
      <w:rFonts w:ascii="Cambria" w:hAnsi="Cambria"/>
      <w:b/>
      <w:bCs/>
      <w:kern w:val="2"/>
      <w:sz w:val="32"/>
      <w:szCs w:val="32"/>
    </w:rPr>
  </w:style>
  <w:style w:type="paragraph" w:styleId="14">
    <w:name w:val="List Paragraph"/>
    <w:basedOn w:val="1"/>
    <w:autoRedefine/>
    <w:qFormat/>
    <w:uiPriority w:val="34"/>
    <w:pPr>
      <w:ind w:firstLine="420" w:firstLineChars="200"/>
    </w:pPr>
  </w:style>
  <w:style w:type="character" w:customStyle="1" w:styleId="15">
    <w:name w:val="页眉 字符"/>
    <w:basedOn w:val="8"/>
    <w:link w:val="4"/>
    <w:qFormat/>
    <w:uiPriority w:val="0"/>
    <w:rPr>
      <w:rFonts w:ascii="Calibri" w:hAnsi="Calibri"/>
      <w:kern w:val="2"/>
      <w:sz w:val="18"/>
      <w:szCs w:val="18"/>
    </w:rPr>
  </w:style>
  <w:style w:type="character" w:customStyle="1" w:styleId="16">
    <w:name w:val="页脚 字符"/>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4839</Words>
  <Characters>5203</Characters>
  <Lines>267</Lines>
  <Paragraphs>178</Paragraphs>
  <TotalTime>7</TotalTime>
  <ScaleCrop>false</ScaleCrop>
  <LinksUpToDate>false</LinksUpToDate>
  <CharactersWithSpaces>5240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2026-07-03T13:50:00Z</dcterms:created>
  <dc:creator>晨哥</dc:creator>
  <cp:lastModifiedBy>Lin</cp:lastModifiedBy>
  <dcterms:modified xsi:type="dcterms:W3CDTF">2026-09-23T02:59:59Z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BE212F4700034880B1C744DD5375DB48_13</vt:lpwstr>
  </property>
  <property fmtid="{D5CDD505-2E9C-101B-9397-08002B2CF9AE}" pid="4" name="KSOTemplateDocerSaveRecord">
    <vt:lpwstr>eyJoZGlkIjoiZmQ2ODA5MTUwMDdlNjMxZDAzYTcwMDNmZTM0NWFhOTEiLCJ1c2VySWQiOiI1OTMxMzMyODAifQ==</vt:lpwstr>
  </property>
</Properties>
</file>